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center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b w:val="false"/>
          <w:bCs w:val="false"/>
          <w:color w:val="000000"/>
          <w:sz w:val="56"/>
          <w:szCs w:val="56"/>
        </w:rPr>
        <w:t>Whitepaper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Название: </w:t>
      </w:r>
      <w:r>
        <w:rPr>
          <w:rFonts w:ascii="Times New Roman" w:hAnsi="Times New Roman"/>
          <w:color w:val="000000"/>
          <w:sz w:val="28"/>
          <w:szCs w:val="28"/>
        </w:rPr>
        <w:t>CloseCoin (CLOSE)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56"/>
          <w:szCs w:val="56"/>
        </w:rPr>
        <w:t>Введение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CloseCoin (CLOSE) - это токен Decentralized autonomous organization (DAO) для открытого проекта, который предназначен для разработки GameFi и utilities на основе The Open Network. Цель CloseCoin заключается в том, чтобы создать GameFi &amp; Utility экосистему, управляемую сообществом, где пользователи могут участвовать в разработке и управлении сервисами процессом голосования.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56"/>
          <w:szCs w:val="56"/>
        </w:rPr>
        <w:t>Open Project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Наша задача - распространить технологию блокчейн и сделать ее более доступной для широких масс. Это даст людям экономическую свободу, простоту использования и упростит денежные операции. Цель должна быть достигнута путем расширения использования криптовалют и продуктов, основанных на технологии блокчейн. именно это и является нашей целью.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56"/>
          <w:szCs w:val="56"/>
        </w:rPr>
        <w:t>Токеномика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Тикер: CLOSE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Эмиссия</w:t>
      </w:r>
      <w:r>
        <w:rPr>
          <w:rFonts w:ascii="Times New Roman" w:hAnsi="Times New Roman"/>
          <w:color w:val="000000"/>
          <w:sz w:val="28"/>
          <w:szCs w:val="28"/>
        </w:rPr>
        <w:t>: 30 000 000 CLOSE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Тип токена: TON-20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Token CloseCoin (CLOSE) может использоваться для различных целей в экосистеме Open Project, включая, помимо прочего: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Держатели токенов CLOSE могут участвовать в управлении проектом, голосовать за предложения и процессы принятия решений.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Пользователи могут принять участие в акции получения CLOSE за пополнения пула ликвидности торговой пары TON/CLOSE, получая дополнительные преимущества в экосистеме.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56"/>
          <w:szCs w:val="56"/>
        </w:rPr>
        <w:t>Утилити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Токены</w:t>
      </w:r>
      <w:r>
        <w:rPr>
          <w:rFonts w:ascii="Times New Roman" w:hAnsi="Times New Roman"/>
          <w:color w:val="000000"/>
          <w:sz w:val="28"/>
          <w:szCs w:val="28"/>
        </w:rPr>
        <w:t xml:space="preserve"> CLOSE могут быть использованы для доступа к использованию различных услуг и утилити, предоставляемых Open Project и командой </w:t>
      </w:r>
      <w:r>
        <w:rPr>
          <w:rFonts w:ascii="Times New Roman" w:hAnsi="Times New Roman"/>
          <w:color w:val="000000"/>
          <w:sz w:val="28"/>
          <w:szCs w:val="28"/>
        </w:rPr>
        <w:t>$CLOSE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softHyphen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56"/>
          <w:szCs w:val="56"/>
        </w:rPr>
        <w:t>Заключение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start"/>
        <w:rPr>
          <w:rFonts w:ascii="HelveticaNeue" w:hAnsi="HelveticaNeue"/>
          <w:color w:val="FFFFFF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>Токен CloseCoin (CLOSE) предназначен для того, чтобы позволить сообществу участвовать в управлении проектами GameFi и утилитами в экосистеме Open Project и CLOSE. При использовании блокчейн технологии и принципов децентрализации, Open Project стремится создать среду для пользователей и предоставить GameFi и разработку утилит.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  <w:font w:name="HelveticaNeue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LibreOffice/24.2.1.2$MacOSX_AARCH64 LibreOffice_project/db4def46b0453cc22e2d0305797cf981b68ef5ac</Application>
  <AppVersion>15.0000</AppVersion>
  <Pages>2</Pages>
  <Words>225</Words>
  <Characters>1513</Characters>
  <CharactersWithSpaces>1721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2024-05-07T16:10:53Z</dcterms:created>
  <dc:creator/>
  <dc:description/>
  <dc:language>ru-RU</dc:language>
  <cp:lastModifiedBy/>
  <dcterms:modified xsi:type="dcterms:W3CDTF">2024-05-07T19:49:00Z</dcterms:modified>
  <cp:revision>3</cp:revision>
  <dc:subject/>
  <dc:title/>
</cp:coreProperties>
</file>